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304A" w14:textId="77777777" w:rsidR="00D0262D" w:rsidRPr="00DB49B6" w:rsidRDefault="00D0262D" w:rsidP="00DB49B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B49B6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037EC01F" wp14:editId="309D178A">
            <wp:extent cx="3105150" cy="1724025"/>
            <wp:effectExtent l="0" t="0" r="0" b="9525"/>
            <wp:docPr id="1" name="Imagen 1" descr="Resultado de imagen para federaciÃ³n iberoamericana del 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deraciÃ³n iberoamericana del ombuds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813E" w14:textId="5BD6281B" w:rsidR="00FF2F08" w:rsidRPr="00625784" w:rsidRDefault="00186547" w:rsidP="00DB49B6">
      <w:pPr>
        <w:spacing w:line="276" w:lineRule="auto"/>
        <w:jc w:val="center"/>
        <w:rPr>
          <w:rFonts w:eastAsiaTheme="minorEastAsia" w:cstheme="minorHAnsi"/>
          <w:b/>
          <w:sz w:val="26"/>
          <w:szCs w:val="26"/>
          <w:lang w:val="es-ES_tradnl" w:eastAsia="es-ES"/>
        </w:rPr>
      </w:pPr>
      <w:r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 xml:space="preserve">Pronunciamiento FIO No </w:t>
      </w:r>
      <w:r w:rsidR="00625784"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>7/2019</w:t>
      </w:r>
    </w:p>
    <w:p w14:paraId="65AEF2D3" w14:textId="5B78C565" w:rsidR="00186547" w:rsidRPr="00625784" w:rsidRDefault="00B55F4B" w:rsidP="00DB49B6">
      <w:pPr>
        <w:widowControl w:val="0"/>
        <w:autoSpaceDE w:val="0"/>
        <w:autoSpaceDN w:val="0"/>
        <w:adjustRightInd w:val="0"/>
        <w:spacing w:after="200" w:line="276" w:lineRule="auto"/>
        <w:ind w:right="-23"/>
        <w:jc w:val="both"/>
        <w:rPr>
          <w:rFonts w:eastAsiaTheme="minorEastAsia" w:cstheme="minorHAnsi"/>
          <w:b/>
          <w:sz w:val="26"/>
          <w:szCs w:val="26"/>
          <w:lang w:val="es-ES_tradnl" w:eastAsia="es-ES"/>
        </w:rPr>
      </w:pPr>
      <w:bookmarkStart w:id="0" w:name="_Hlk529959355"/>
      <w:r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 xml:space="preserve">La Federación Iberoamericana del Ombudsman (FIO) </w:t>
      </w:r>
      <w:r w:rsidR="00625784"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>solicita al Gobierno de Guatemala que cese</w:t>
      </w:r>
      <w:r w:rsidR="00CE7E38"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 xml:space="preserve"> los constantes ataques contra </w:t>
      </w:r>
      <w:r w:rsidR="00186547" w:rsidRPr="00625784">
        <w:rPr>
          <w:rFonts w:eastAsiaTheme="minorEastAsia" w:cstheme="minorHAnsi"/>
          <w:b/>
          <w:sz w:val="26"/>
          <w:szCs w:val="26"/>
          <w:lang w:val="es-ES_tradnl" w:eastAsia="es-ES"/>
        </w:rPr>
        <w:t xml:space="preserve">la Procuraduría de los Derechos Humanos </w:t>
      </w:r>
    </w:p>
    <w:p w14:paraId="2DFCAF6D" w14:textId="34E9CF84" w:rsidR="00CE7E38" w:rsidRPr="00625784" w:rsidRDefault="00CE7E38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La Federación Iberoamericana de Ombudsman (FIO) observa con mucha preocupación las amenazas constantes que se han realizado contra la Procuraduría de los Derechos Humanos, 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en la persona de su titular,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el Procurador Jordán Rodas Andrade. </w:t>
      </w:r>
    </w:p>
    <w:p w14:paraId="0E16B781" w14:textId="77777777" w:rsidR="00CE7E38" w:rsidRPr="00625784" w:rsidRDefault="00CE7E38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779D88A2" w14:textId="0C8DCF3D" w:rsidR="00CE7E38" w:rsidRPr="00625784" w:rsidRDefault="00CE7E38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La FIO ha dado seguimiento a </w:t>
      </w:r>
      <w:r w:rsidR="00DB49B6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la situación de ataque bajo la que se encuentra la Procuraduría de los Derechos Humanos, </w:t>
      </w:r>
      <w:r w:rsidR="0097703D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puesto </w:t>
      </w:r>
      <w:r w:rsidR="00DB49B6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que en reiteradas ocasiones se ha intentado 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remover de su cargo al Procurador de los Derechos Humanos, </w:t>
      </w:r>
      <w:r w:rsidR="00DB49B6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se han hecho </w:t>
      </w:r>
      <w:r w:rsidR="0097703D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importantes </w:t>
      </w:r>
      <w:r w:rsidR="00DB49B6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recortes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presupuestarios y </w:t>
      </w:r>
      <w:r w:rsidR="00DB49B6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se ha intentado limitar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la labor independiente en favor de los derechos de todas las personas en Guatemala. </w:t>
      </w:r>
    </w:p>
    <w:p w14:paraId="17DE1BD7" w14:textId="77777777" w:rsidR="00CE7E38" w:rsidRPr="00625784" w:rsidRDefault="00CE7E38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331046C2" w14:textId="40486368" w:rsidR="00DB49B6" w:rsidRPr="00625784" w:rsidRDefault="00DB49B6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Los integrantes de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l Consejo Rector de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la Federación Iberoamericana de Ombudsman, reconocen que la Procuraduría de los Derechos Humanos es una institución clave en la defensa y promoción de los derechos humanos, 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y constituye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una respuesta a la necesidad que tiene la ciudadanía de que sus gobernantes ejerzan una labor que sea observada por una entidad independiente y a la cual deban rendir cuentas; 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todo ello para 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garantizar que el funcionamiento del sector público se encuentre ajustado a la Constitución, a las leyes, a los convenios internacionales suscritos por el Estado y a los principios generales del derecho. </w:t>
      </w:r>
    </w:p>
    <w:p w14:paraId="6C8E2788" w14:textId="77777777" w:rsidR="00DB49B6" w:rsidRPr="00625784" w:rsidRDefault="00DB49B6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2445091B" w14:textId="3ADCDE42" w:rsidR="00186547" w:rsidRDefault="00DB49B6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Por lo anterior, l</w:t>
      </w:r>
      <w:r w:rsidR="00CE7E38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os integrantes de la FIO solicitan, muy respetuosamente, a las autoridades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guatemaltecas</w:t>
      </w:r>
      <w:r w:rsidR="00CE7E38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a</w:t>
      </w:r>
      <w:r w:rsidR="00CE7E38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que actúen de acuerdo con los compromisos </w:t>
      </w:r>
      <w:r w:rsidR="00CE7E38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lastRenderedPageBreak/>
        <w:t>internacionales asumidos por ese Estado,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</w:t>
      </w:r>
      <w:r w:rsidR="003046AB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los Principios de París, </w:t>
      </w:r>
      <w:r w:rsidR="00625784"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y más concretamente con la Organización de las Naciones Unidas, en cuya Asamblea Global de Instituciones Nacionales de Derechos Humanos (GANHRI) se incardina la procuraduría</w:t>
      </w:r>
      <w:r w:rsidR="003046AB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.</w:t>
      </w:r>
    </w:p>
    <w:p w14:paraId="1772FFB4" w14:textId="77777777" w:rsidR="003046AB" w:rsidRDefault="003046AB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6F44CB72" w14:textId="20DAA6C7" w:rsidR="003046AB" w:rsidRPr="003046AB" w:rsidRDefault="003046AB" w:rsidP="003046AB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eastAsia="es-ES"/>
        </w:rPr>
      </w:pPr>
      <w:r w:rsidRPr="003046AB">
        <w:rPr>
          <w:rFonts w:asciiTheme="minorHAnsi" w:eastAsiaTheme="minorEastAsia" w:hAnsiTheme="minorHAnsi" w:cstheme="minorHAnsi"/>
          <w:sz w:val="26"/>
          <w:szCs w:val="26"/>
          <w:lang w:eastAsia="es-ES"/>
        </w:rPr>
        <w:t>Los principios de París, además de ser un acuerdo internacional, definen el rol, composición, estatus y funciones de las instituciones nacionales de derechos humanos, subrayando que se tratan de instancias independientes con amplio mandato de protección y promoción de derechos humanos. Los Principios son ampliamente aceptados como prueba de legitimidad y credibilidad de una institución.</w:t>
      </w:r>
    </w:p>
    <w:p w14:paraId="31C8612D" w14:textId="77777777" w:rsidR="003046AB" w:rsidRPr="00625784" w:rsidRDefault="003046AB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73F3CCE5" w14:textId="05D25DE3" w:rsidR="00625784" w:rsidRDefault="003046AB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En resumen, la FIO exhorta a las autoridades guatemaltecas para que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</w:t>
      </w:r>
      <w:r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protejan y reconozcan</w:t>
      </w:r>
      <w:r w:rsidRPr="0062578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la función, atribuciones y mandato constitucional de la Procuraduría de los Derechos Humanos, toda vez que resulta palpable y evidente el beneficio que brinda para la protección de los grupos en situación de vulnerabilidad.</w:t>
      </w:r>
    </w:p>
    <w:p w14:paraId="2C7936D8" w14:textId="77777777" w:rsidR="00625784" w:rsidRDefault="00625784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4139D4F6" w14:textId="77777777" w:rsidR="00625784" w:rsidRDefault="00625784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72688DE7" w14:textId="77777777" w:rsidR="003046AB" w:rsidRDefault="003046AB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3018B8DA" w14:textId="77777777" w:rsidR="003046AB" w:rsidRDefault="003046AB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62ABA8B2" w14:textId="77777777" w:rsidR="00625784" w:rsidRPr="00625784" w:rsidRDefault="00625784" w:rsidP="00DB49B6">
      <w:pPr>
        <w:pStyle w:val="Textosinformato"/>
        <w:spacing w:line="276" w:lineRule="auto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p w14:paraId="221B17EA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Iris Miriam Ruiz </w:t>
      </w:r>
      <w:proofErr w:type="spellStart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Class</w:t>
      </w:r>
      <w:proofErr w:type="spellEnd"/>
    </w:p>
    <w:p w14:paraId="047131D8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Presidenta de la Federación Iberoamericana del Ombudsman y</w:t>
      </w:r>
    </w:p>
    <w:p w14:paraId="0591EA0A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Procuradora del Ciudadano del Estado Libre Asociado de Puerto Rico</w:t>
      </w:r>
    </w:p>
    <w:p w14:paraId="49CC2872" w14:textId="77777777" w:rsidR="00625784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3F784642" w14:textId="77777777" w:rsidR="003046AB" w:rsidRPr="00B4158A" w:rsidRDefault="003046AB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bookmarkStart w:id="1" w:name="_GoBack"/>
      <w:bookmarkEnd w:id="1"/>
    </w:p>
    <w:p w14:paraId="38387AB3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69C80455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 Deborah </w:t>
      </w:r>
      <w:proofErr w:type="spellStart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Duprah</w:t>
      </w:r>
      <w:proofErr w:type="spellEnd"/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 </w:t>
      </w:r>
    </w:p>
    <w:p w14:paraId="395B32E1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Procuradora Federal de los Derechos Humanos de la República del Brasil y</w:t>
      </w:r>
    </w:p>
    <w:p w14:paraId="7ABBC132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Vicepresidenta Primera por el Cono Sur</w:t>
      </w:r>
    </w:p>
    <w:p w14:paraId="6E73B1DE" w14:textId="77777777" w:rsidR="00625784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5AD06B91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72C41DF3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Francisco Fernández Marugán </w:t>
      </w:r>
    </w:p>
    <w:p w14:paraId="68BDE491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Defensor del Pueblo de España (</w:t>
      </w:r>
      <w:proofErr w:type="spellStart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e.f</w:t>
      </w:r>
      <w:proofErr w:type="spellEnd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.) y</w:t>
      </w:r>
    </w:p>
    <w:p w14:paraId="57F68117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Vicepresidente Segundo por la Región Europa</w:t>
      </w:r>
    </w:p>
    <w:p w14:paraId="677B7F7E" w14:textId="77777777" w:rsidR="00625784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07D6E9B5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2A29BCA7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Nadia Cruz</w:t>
      </w:r>
    </w:p>
    <w:p w14:paraId="1E3728B0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Defensora del pueblo de Bolivia y</w:t>
      </w:r>
    </w:p>
    <w:p w14:paraId="4520AF7E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Vicepresidenta Tercera por la Región Andina </w:t>
      </w:r>
    </w:p>
    <w:p w14:paraId="11F96086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26F8AFCD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Maribel Coco</w:t>
      </w:r>
    </w:p>
    <w:p w14:paraId="2D7D0B03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Defensora del pueblo de Panamá (</w:t>
      </w:r>
      <w:proofErr w:type="spellStart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e.f</w:t>
      </w:r>
      <w:proofErr w:type="spellEnd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) y</w:t>
      </w:r>
    </w:p>
    <w:p w14:paraId="311C4D21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Vicepresidenta Cuarta por la Región de Centroamérica</w:t>
      </w:r>
    </w:p>
    <w:p w14:paraId="25C7B911" w14:textId="77777777" w:rsidR="00625784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08BB76F7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</w:p>
    <w:p w14:paraId="7A137EFD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proofErr w:type="spellStart"/>
      <w:r w:rsidRPr="00B4158A">
        <w:rPr>
          <w:rFonts w:eastAsiaTheme="minorEastAsia" w:cstheme="minorHAnsi"/>
          <w:sz w:val="26"/>
          <w:szCs w:val="26"/>
          <w:lang w:val="es-ES_tradnl" w:eastAsia="es-ES"/>
        </w:rPr>
        <w:t>Raul</w:t>
      </w:r>
      <w:proofErr w:type="spellEnd"/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 Alberto Lamberto </w:t>
      </w:r>
    </w:p>
    <w:p w14:paraId="58FBAA7E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 xml:space="preserve">Defensor del Pueblo de Santa Fe (Argentina)  </w:t>
      </w:r>
    </w:p>
    <w:p w14:paraId="49C883E8" w14:textId="77777777" w:rsidR="00625784" w:rsidRPr="00B4158A" w:rsidRDefault="00625784" w:rsidP="00625784">
      <w:pPr>
        <w:jc w:val="center"/>
        <w:rPr>
          <w:rFonts w:eastAsiaTheme="minorEastAsia" w:cstheme="minorHAnsi"/>
          <w:sz w:val="26"/>
          <w:szCs w:val="26"/>
          <w:lang w:val="es-ES_tradnl" w:eastAsia="es-ES"/>
        </w:rPr>
      </w:pPr>
      <w:r w:rsidRPr="00B4158A">
        <w:rPr>
          <w:rFonts w:eastAsiaTheme="minorEastAsia" w:cstheme="minorHAnsi"/>
          <w:sz w:val="26"/>
          <w:szCs w:val="26"/>
          <w:lang w:val="es-ES_tradnl" w:eastAsia="es-ES"/>
        </w:rPr>
        <w:t>Vicepresidente Quinto por las Instituciones Regionales y Locales de Derechos Humanos</w:t>
      </w:r>
    </w:p>
    <w:p w14:paraId="10081BB1" w14:textId="77777777" w:rsidR="00625784" w:rsidRPr="00625784" w:rsidRDefault="00625784" w:rsidP="00DB49B6">
      <w:pPr>
        <w:pStyle w:val="Textosinformato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bookmarkEnd w:id="0"/>
    <w:p w14:paraId="5A8F42DB" w14:textId="3339E7D0" w:rsidR="000424C2" w:rsidRPr="00DB49B6" w:rsidRDefault="00DB49B6" w:rsidP="00DB49B6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DB49B6">
        <w:rPr>
          <w:rFonts w:cstheme="minorHAnsi"/>
          <w:b/>
          <w:sz w:val="24"/>
          <w:szCs w:val="24"/>
        </w:rPr>
        <w:t>26 de octubre de 2019</w:t>
      </w:r>
    </w:p>
    <w:p w14:paraId="4504ADCA" w14:textId="77777777" w:rsidR="00B55F4B" w:rsidRPr="00DB49B6" w:rsidRDefault="00B55F4B" w:rsidP="00DB49B6">
      <w:pPr>
        <w:widowControl w:val="0"/>
        <w:autoSpaceDE w:val="0"/>
        <w:autoSpaceDN w:val="0"/>
        <w:adjustRightInd w:val="0"/>
        <w:spacing w:after="200" w:line="276" w:lineRule="auto"/>
        <w:ind w:right="-23"/>
        <w:jc w:val="both"/>
        <w:rPr>
          <w:rFonts w:cstheme="minorHAnsi"/>
          <w:color w:val="262626"/>
          <w:sz w:val="24"/>
          <w:szCs w:val="24"/>
          <w:lang w:val="es-HN"/>
        </w:rPr>
      </w:pPr>
    </w:p>
    <w:p w14:paraId="5F8BFD3E" w14:textId="77777777" w:rsidR="009128A1" w:rsidRPr="00B55F4B" w:rsidRDefault="009128A1" w:rsidP="00DB49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128A1" w:rsidRPr="00B55F4B" w:rsidSect="0015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44A4"/>
    <w:multiLevelType w:val="hybridMultilevel"/>
    <w:tmpl w:val="61A8E7D4"/>
    <w:lvl w:ilvl="0" w:tplc="BC022D26">
      <w:start w:val="1"/>
      <w:numFmt w:val="upperLetter"/>
      <w:lvlText w:val="%1)"/>
      <w:lvlJc w:val="left"/>
      <w:pPr>
        <w:ind w:left="99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F08"/>
    <w:rsid w:val="000232D5"/>
    <w:rsid w:val="000424C2"/>
    <w:rsid w:val="001544CC"/>
    <w:rsid w:val="001823DA"/>
    <w:rsid w:val="00186547"/>
    <w:rsid w:val="001A7916"/>
    <w:rsid w:val="001C67A1"/>
    <w:rsid w:val="002317FC"/>
    <w:rsid w:val="0023762E"/>
    <w:rsid w:val="00247314"/>
    <w:rsid w:val="002479D5"/>
    <w:rsid w:val="002B1C74"/>
    <w:rsid w:val="002D53B5"/>
    <w:rsid w:val="003046AB"/>
    <w:rsid w:val="003B0B45"/>
    <w:rsid w:val="00533C96"/>
    <w:rsid w:val="005D1D8A"/>
    <w:rsid w:val="0060697A"/>
    <w:rsid w:val="00625784"/>
    <w:rsid w:val="00710552"/>
    <w:rsid w:val="008A0B02"/>
    <w:rsid w:val="00904D84"/>
    <w:rsid w:val="009128A1"/>
    <w:rsid w:val="0095524E"/>
    <w:rsid w:val="0097703D"/>
    <w:rsid w:val="009E23FF"/>
    <w:rsid w:val="00A70A21"/>
    <w:rsid w:val="00AE6435"/>
    <w:rsid w:val="00B37989"/>
    <w:rsid w:val="00B51351"/>
    <w:rsid w:val="00B55F4B"/>
    <w:rsid w:val="00BD0EAB"/>
    <w:rsid w:val="00BD3252"/>
    <w:rsid w:val="00CE7E38"/>
    <w:rsid w:val="00D0262D"/>
    <w:rsid w:val="00DB49B6"/>
    <w:rsid w:val="00E76D09"/>
    <w:rsid w:val="00FB2F01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D5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B55F4B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B55F4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6547"/>
    <w:pPr>
      <w:spacing w:after="0" w:line="240" w:lineRule="auto"/>
    </w:pPr>
    <w:rPr>
      <w:rFonts w:ascii="Book Antiqua" w:hAnsi="Book Antiqua"/>
      <w:sz w:val="24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6547"/>
    <w:rPr>
      <w:rFonts w:ascii="Book Antiqua" w:hAnsi="Book Antiqua"/>
      <w:sz w:val="24"/>
      <w:szCs w:val="21"/>
      <w:lang w:val="es-ES"/>
    </w:rPr>
  </w:style>
  <w:style w:type="character" w:customStyle="1" w:styleId="Ninguno">
    <w:name w:val="Ninguno"/>
    <w:rsid w:val="003046AB"/>
  </w:style>
  <w:style w:type="paragraph" w:styleId="NormalWeb">
    <w:name w:val="Normal (Web)"/>
    <w:rsid w:val="003046A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Montiel Razo</dc:creator>
  <cp:lastModifiedBy>admin</cp:lastModifiedBy>
  <cp:revision>4</cp:revision>
  <cp:lastPrinted>2018-08-27T21:28:00Z</cp:lastPrinted>
  <dcterms:created xsi:type="dcterms:W3CDTF">2019-10-28T16:55:00Z</dcterms:created>
  <dcterms:modified xsi:type="dcterms:W3CDTF">2019-10-29T10:44:00Z</dcterms:modified>
</cp:coreProperties>
</file>