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B54" w:rsidRPr="00BE33B7" w:rsidRDefault="00A33B54" w:rsidP="00A33B54">
      <w:pPr>
        <w:spacing w:line="360" w:lineRule="exact"/>
        <w:jc w:val="center"/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</w:pPr>
      <w:r w:rsidRPr="00BE33B7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 xml:space="preserve">Pronunciamiento Fio Nº </w:t>
      </w:r>
      <w:r w:rsidR="009E2404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4</w:t>
      </w:r>
      <w:r w:rsidRPr="00BE33B7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/20</w:t>
      </w:r>
      <w:r w:rsidR="009E2404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22</w:t>
      </w:r>
    </w:p>
    <w:p w:rsidR="00A33B54" w:rsidRPr="00BE33B7" w:rsidRDefault="00A33B54" w:rsidP="00423D5E">
      <w:pPr>
        <w:spacing w:line="360" w:lineRule="exact"/>
        <w:jc w:val="both"/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</w:pPr>
    </w:p>
    <w:p w:rsidR="00423D5E" w:rsidRDefault="00423D5E" w:rsidP="00423D5E">
      <w:pPr>
        <w:spacing w:line="360" w:lineRule="exact"/>
        <w:jc w:val="both"/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</w:pPr>
      <w:r w:rsidRPr="00BE33B7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Pronunciamiento del Consejo Rector de la Federación Iberoamericana del Ombudsman (FIO) respecto a l</w:t>
      </w:r>
      <w:r w:rsidR="000A460E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os</w:t>
      </w:r>
      <w:r w:rsidR="00EB342E" w:rsidRPr="00BE33B7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 xml:space="preserve"> </w:t>
      </w:r>
      <w:r w:rsidR="000A460E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 xml:space="preserve">ataques a la </w:t>
      </w:r>
      <w:r w:rsidR="009E2404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D</w:t>
      </w:r>
      <w:r w:rsidR="000A460E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efensor</w:t>
      </w:r>
      <w:r w:rsidR="009E2404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a</w:t>
      </w:r>
      <w:r w:rsidR="000A460E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 xml:space="preserve"> de</w:t>
      </w:r>
      <w:r w:rsidR="009E2404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 xml:space="preserve"> </w:t>
      </w:r>
      <w:r w:rsidR="000A460E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l</w:t>
      </w:r>
      <w:r w:rsidR="009E2404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os Habitantes de Costa Rica</w:t>
      </w:r>
      <w:r w:rsidR="000A460E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 xml:space="preserve"> por parte </w:t>
      </w:r>
      <w:r w:rsidRPr="00BE33B7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de</w:t>
      </w:r>
      <w:r w:rsidR="00EB342E" w:rsidRPr="00BE33B7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 xml:space="preserve"> la </w:t>
      </w:r>
      <w:r w:rsidR="009E2404">
        <w:rPr>
          <w:rFonts w:asciiTheme="minorHAnsi" w:eastAsiaTheme="minorEastAsia" w:hAnsiTheme="minorHAnsi" w:cstheme="minorHAnsi"/>
          <w:b/>
          <w:sz w:val="32"/>
          <w:szCs w:val="32"/>
          <w:lang w:val="es-ES_tradnl" w:eastAsia="es-ES"/>
        </w:rPr>
        <w:t>Asamblea Legislativa de ese país.</w:t>
      </w:r>
    </w:p>
    <w:p w:rsidR="00F71528" w:rsidRPr="002E5509" w:rsidRDefault="00F71528" w:rsidP="00423D5E">
      <w:pPr>
        <w:spacing w:line="360" w:lineRule="exact"/>
        <w:jc w:val="both"/>
        <w:rPr>
          <w:sz w:val="28"/>
          <w:szCs w:val="28"/>
          <w:lang w:val="es-ES_tradnl"/>
        </w:rPr>
      </w:pPr>
    </w:p>
    <w:p w:rsidR="0055332A" w:rsidRDefault="000A460E" w:rsidP="00423D5E">
      <w:pPr>
        <w:spacing w:line="360" w:lineRule="exac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Ante l</w:t>
      </w:r>
      <w:r w:rsidR="009E2404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 audiencia de remoción del cargo convocada por la Asamblea Legislativa de la República de Costa Rica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, el Consejo Rector de la Federación Iberoamericana de Ombudsman (FIO) señala que:</w:t>
      </w:r>
    </w:p>
    <w:p w:rsidR="00F71528" w:rsidRDefault="00F71528" w:rsidP="00423D5E">
      <w:pPr>
        <w:spacing w:line="360" w:lineRule="exac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</w:p>
    <w:p w:rsidR="00A267F5" w:rsidRDefault="000A460E" w:rsidP="00A267F5">
      <w:pPr>
        <w:spacing w:line="360" w:lineRule="exac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>1.- La defensoría de</w:t>
      </w:r>
      <w:r w:rsidR="009E2404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_tradnl"/>
        </w:rPr>
        <w:t>l</w:t>
      </w:r>
      <w:r w:rsidR="009E2404">
        <w:rPr>
          <w:rFonts w:asciiTheme="minorHAnsi" w:hAnsiTheme="minorHAnsi" w:cstheme="minorHAnsi"/>
          <w:sz w:val="28"/>
          <w:szCs w:val="28"/>
          <w:lang w:val="es-ES_tradnl"/>
        </w:rPr>
        <w:t>os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9E2404">
        <w:rPr>
          <w:rFonts w:asciiTheme="minorHAnsi" w:hAnsiTheme="minorHAnsi" w:cstheme="minorHAnsi"/>
          <w:sz w:val="28"/>
          <w:szCs w:val="28"/>
          <w:lang w:val="es-ES_tradnl"/>
        </w:rPr>
        <w:t>Habitantes de Costa Rica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, es una institución independiente, como así ha quedado establecido por la Alianza Global de las </w:t>
      </w:r>
      <w:r w:rsidR="00310B0E">
        <w:rPr>
          <w:rFonts w:asciiTheme="minorHAnsi" w:hAnsiTheme="minorHAnsi" w:cstheme="minorHAnsi"/>
          <w:sz w:val="28"/>
          <w:szCs w:val="28"/>
          <w:lang w:val="es-ES_tradnl"/>
        </w:rPr>
        <w:t>Instituciones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Nacionales de derechos humanos (GANHRI) de las Naciones Unidas, que le ha otorgado su máxima categ</w:t>
      </w:r>
      <w:r w:rsidR="00A267F5">
        <w:rPr>
          <w:rFonts w:asciiTheme="minorHAnsi" w:hAnsiTheme="minorHAnsi" w:cstheme="minorHAnsi"/>
          <w:sz w:val="28"/>
          <w:szCs w:val="28"/>
          <w:lang w:val="es-ES_tradnl"/>
        </w:rPr>
        <w:t>o</w:t>
      </w:r>
      <w:r>
        <w:rPr>
          <w:rFonts w:asciiTheme="minorHAnsi" w:hAnsiTheme="minorHAnsi" w:cstheme="minorHAnsi"/>
          <w:sz w:val="28"/>
          <w:szCs w:val="28"/>
          <w:lang w:val="es-ES_tradnl"/>
        </w:rPr>
        <w:t>ría de independencia.</w:t>
      </w:r>
      <w:r w:rsidR="00A267F5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L</w:t>
      </w:r>
      <w:r w:rsidR="00A267F5"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 independencia es un pilar fundamental de las instituciones de Ombudsman y es inseparable de su naturaleza.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Tanto es así, que la independencia de</w:t>
      </w:r>
      <w:r w:rsidR="009E2404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l</w:t>
      </w:r>
      <w:r w:rsidR="009E2404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 titular del cargo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se predica también respecto de los miembros del parlamento que l</w:t>
      </w:r>
      <w:r w:rsidR="00256843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han elegido.</w:t>
      </w:r>
    </w:p>
    <w:p w:rsidR="00C52FFA" w:rsidRPr="0055332A" w:rsidRDefault="00C52FFA" w:rsidP="00A267F5">
      <w:pPr>
        <w:spacing w:line="360" w:lineRule="exac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</w:p>
    <w:p w:rsidR="00DF388C" w:rsidRPr="00DF388C" w:rsidRDefault="000A460E" w:rsidP="00C52FFA">
      <w:pPr>
        <w:spacing w:line="360" w:lineRule="exact"/>
        <w:ind w:firstLine="708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2.- La </w:t>
      </w:r>
      <w:r w:rsidR="00423D5E" w:rsidRPr="0055332A">
        <w:rPr>
          <w:rFonts w:asciiTheme="minorHAnsi" w:hAnsiTheme="minorHAnsi" w:cstheme="minorHAnsi"/>
          <w:sz w:val="28"/>
          <w:szCs w:val="28"/>
          <w:lang w:val="es-ES_tradnl"/>
        </w:rPr>
        <w:t xml:space="preserve">actuación </w:t>
      </w:r>
      <w:r>
        <w:rPr>
          <w:rFonts w:asciiTheme="minorHAnsi" w:hAnsiTheme="minorHAnsi" w:cstheme="minorHAnsi"/>
          <w:sz w:val="28"/>
          <w:szCs w:val="28"/>
          <w:lang w:val="es-ES_tradnl"/>
        </w:rPr>
        <w:t>de</w:t>
      </w:r>
      <w:r w:rsidR="00256843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_tradnl"/>
        </w:rPr>
        <w:t>l</w:t>
      </w:r>
      <w:r w:rsidR="00256843">
        <w:rPr>
          <w:rFonts w:asciiTheme="minorHAnsi" w:hAnsiTheme="minorHAnsi" w:cstheme="minorHAnsi"/>
          <w:sz w:val="28"/>
          <w:szCs w:val="28"/>
          <w:lang w:val="es-ES_tradnl"/>
        </w:rPr>
        <w:t>a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Defensor</w:t>
      </w:r>
      <w:r w:rsidR="00256843">
        <w:rPr>
          <w:rFonts w:asciiTheme="minorHAnsi" w:hAnsiTheme="minorHAnsi" w:cstheme="minorHAnsi"/>
          <w:sz w:val="28"/>
          <w:szCs w:val="28"/>
          <w:lang w:val="es-ES_tradnl"/>
        </w:rPr>
        <w:t>a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de</w:t>
      </w:r>
      <w:r w:rsidR="00256843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_tradnl"/>
        </w:rPr>
        <w:t>l</w:t>
      </w:r>
      <w:r w:rsidR="00256843">
        <w:rPr>
          <w:rFonts w:asciiTheme="minorHAnsi" w:hAnsiTheme="minorHAnsi" w:cstheme="minorHAnsi"/>
          <w:sz w:val="28"/>
          <w:szCs w:val="28"/>
          <w:lang w:val="es-ES_tradnl"/>
        </w:rPr>
        <w:t>os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256843">
        <w:rPr>
          <w:rFonts w:asciiTheme="minorHAnsi" w:hAnsiTheme="minorHAnsi" w:cstheme="minorHAnsi"/>
          <w:sz w:val="28"/>
          <w:szCs w:val="28"/>
          <w:lang w:val="es-ES_tradnl"/>
        </w:rPr>
        <w:t>Habitantes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423D5E" w:rsidRPr="0055332A">
        <w:rPr>
          <w:rFonts w:asciiTheme="minorHAnsi" w:hAnsiTheme="minorHAnsi" w:cstheme="minorHAnsi"/>
          <w:sz w:val="28"/>
          <w:szCs w:val="28"/>
          <w:lang w:val="es-ES_tradnl"/>
        </w:rPr>
        <w:t xml:space="preserve">ha 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venido siendo </w:t>
      </w:r>
      <w:r w:rsidR="00423D5E" w:rsidRPr="0055332A">
        <w:rPr>
          <w:rFonts w:asciiTheme="minorHAnsi" w:hAnsiTheme="minorHAnsi" w:cstheme="minorHAnsi"/>
          <w:sz w:val="28"/>
          <w:szCs w:val="28"/>
          <w:lang w:val="es-ES_tradnl"/>
        </w:rPr>
        <w:t xml:space="preserve">cuestionada por </w:t>
      </w:r>
      <w:r w:rsidR="002B46FC">
        <w:rPr>
          <w:rFonts w:asciiTheme="minorHAnsi" w:hAnsiTheme="minorHAnsi" w:cstheme="minorHAnsi"/>
          <w:sz w:val="28"/>
          <w:szCs w:val="28"/>
          <w:lang w:val="es-ES_tradnl"/>
        </w:rPr>
        <w:t>la Asamblea</w:t>
      </w:r>
      <w:r w:rsidR="0055332A">
        <w:rPr>
          <w:rFonts w:asciiTheme="minorHAnsi" w:hAnsiTheme="minorHAnsi" w:cstheme="minorHAnsi"/>
          <w:sz w:val="28"/>
          <w:szCs w:val="28"/>
          <w:lang w:val="es-ES_tradnl"/>
        </w:rPr>
        <w:t xml:space="preserve"> Legislativa</w:t>
      </w:r>
      <w:r w:rsidR="00423D5E" w:rsidRPr="0055332A">
        <w:rPr>
          <w:rFonts w:asciiTheme="minorHAnsi" w:hAnsiTheme="minorHAnsi" w:cstheme="minorHAnsi"/>
          <w:sz w:val="28"/>
          <w:szCs w:val="28"/>
          <w:lang w:val="es-ES_tradnl"/>
        </w:rPr>
        <w:t xml:space="preserve"> del país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a</w:t>
      </w:r>
      <w:r w:rsidR="00310B0E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_tradnl"/>
        </w:rPr>
        <w:t>lo largo de los últimos meses</w:t>
      </w:r>
      <w:r w:rsidR="00DF388C">
        <w:rPr>
          <w:rFonts w:asciiTheme="minorHAnsi" w:hAnsiTheme="minorHAnsi" w:cstheme="minorHAnsi"/>
          <w:sz w:val="28"/>
          <w:szCs w:val="28"/>
          <w:lang w:val="es-ES_tradnl"/>
        </w:rPr>
        <w:t xml:space="preserve">. </w:t>
      </w:r>
      <w:r w:rsidR="002B46FC">
        <w:rPr>
          <w:rFonts w:asciiTheme="minorHAnsi" w:hAnsiTheme="minorHAnsi" w:cstheme="minorHAnsi"/>
          <w:sz w:val="28"/>
          <w:szCs w:val="28"/>
          <w:lang w:val="es-ES_tradnl"/>
        </w:rPr>
        <w:t xml:space="preserve">Como colofón de esta situación, </w:t>
      </w:r>
      <w:r w:rsidR="00C52FFA">
        <w:rPr>
          <w:rFonts w:asciiTheme="minorHAnsi" w:hAnsiTheme="minorHAnsi" w:cstheme="minorHAnsi"/>
          <w:sz w:val="28"/>
          <w:szCs w:val="28"/>
          <w:lang w:val="es-ES_tradnl"/>
        </w:rPr>
        <w:t>se tiene noticia de q</w:t>
      </w:r>
      <w:r w:rsidR="002B46FC">
        <w:rPr>
          <w:rFonts w:asciiTheme="minorHAnsi" w:hAnsiTheme="minorHAnsi" w:cstheme="minorHAnsi"/>
          <w:sz w:val="28"/>
          <w:szCs w:val="28"/>
          <w:lang w:val="es-ES_tradnl"/>
        </w:rPr>
        <w:t>ue se ha presentado una denuncia en contra de la titular de la institución, Catalina Crespo,</w:t>
      </w:r>
      <w:r w:rsidR="002B46FC">
        <w:rPr>
          <w:rFonts w:asciiTheme="minorHAnsi" w:hAnsiTheme="minorHAnsi" w:cstheme="minorHAnsi"/>
          <w:sz w:val="28"/>
          <w:szCs w:val="28"/>
          <w:lang w:val="es-ES"/>
        </w:rPr>
        <w:t xml:space="preserve"> lo que ha dado lugar a</w:t>
      </w:r>
      <w:r w:rsidR="00DF388C" w:rsidRPr="00DF388C">
        <w:rPr>
          <w:rFonts w:asciiTheme="minorHAnsi" w:hAnsiTheme="minorHAnsi" w:cstheme="minorHAnsi"/>
          <w:sz w:val="28"/>
          <w:szCs w:val="28"/>
          <w:lang w:val="es-ES"/>
        </w:rPr>
        <w:t xml:space="preserve"> la creación de una Comisión Legislativa Especial de Investigación, </w:t>
      </w:r>
      <w:r w:rsidR="002B46FC">
        <w:rPr>
          <w:rFonts w:asciiTheme="minorHAnsi" w:hAnsiTheme="minorHAnsi" w:cstheme="minorHAnsi"/>
          <w:sz w:val="28"/>
          <w:szCs w:val="28"/>
          <w:lang w:val="es-ES"/>
        </w:rPr>
        <w:t xml:space="preserve">que </w:t>
      </w:r>
      <w:r w:rsidR="00DF388C" w:rsidRPr="00DF388C">
        <w:rPr>
          <w:rFonts w:asciiTheme="minorHAnsi" w:hAnsiTheme="minorHAnsi" w:cstheme="minorHAnsi"/>
          <w:sz w:val="28"/>
          <w:szCs w:val="28"/>
          <w:lang w:val="es-ES"/>
        </w:rPr>
        <w:t>se reunió el</w:t>
      </w:r>
      <w:r w:rsidR="002B46FC">
        <w:rPr>
          <w:rFonts w:asciiTheme="minorHAnsi" w:hAnsiTheme="minorHAnsi" w:cstheme="minorHAnsi"/>
          <w:sz w:val="28"/>
          <w:szCs w:val="28"/>
          <w:lang w:val="es-ES"/>
        </w:rPr>
        <w:t xml:space="preserve"> pasado</w:t>
      </w:r>
      <w:r w:rsidR="00DF388C" w:rsidRPr="00DF388C">
        <w:rPr>
          <w:rFonts w:asciiTheme="minorHAnsi" w:hAnsiTheme="minorHAnsi" w:cstheme="minorHAnsi"/>
          <w:sz w:val="28"/>
          <w:szCs w:val="28"/>
          <w:lang w:val="es-ES"/>
        </w:rPr>
        <w:t xml:space="preserve"> 5</w:t>
      </w:r>
      <w:r w:rsidR="002B46FC">
        <w:rPr>
          <w:rFonts w:asciiTheme="minorHAnsi" w:hAnsiTheme="minorHAnsi" w:cstheme="minorHAnsi"/>
          <w:sz w:val="28"/>
          <w:szCs w:val="28"/>
          <w:lang w:val="es-ES"/>
        </w:rPr>
        <w:t xml:space="preserve"> de abril</w:t>
      </w:r>
      <w:r w:rsidR="00DF388C" w:rsidRPr="00DF388C">
        <w:rPr>
          <w:rFonts w:asciiTheme="minorHAnsi" w:hAnsiTheme="minorHAnsi" w:cstheme="minorHAnsi"/>
          <w:sz w:val="28"/>
          <w:szCs w:val="28"/>
          <w:lang w:val="es-ES"/>
        </w:rPr>
        <w:t xml:space="preserve"> y </w:t>
      </w:r>
      <w:r w:rsidR="008218BD">
        <w:rPr>
          <w:rFonts w:asciiTheme="minorHAnsi" w:hAnsiTheme="minorHAnsi" w:cstheme="minorHAnsi"/>
          <w:sz w:val="28"/>
          <w:szCs w:val="28"/>
          <w:lang w:val="es-ES"/>
        </w:rPr>
        <w:t xml:space="preserve">que  </w:t>
      </w:r>
      <w:r w:rsidR="00DF388C" w:rsidRPr="00DF388C">
        <w:rPr>
          <w:rFonts w:asciiTheme="minorHAnsi" w:hAnsiTheme="minorHAnsi" w:cstheme="minorHAnsi"/>
          <w:sz w:val="28"/>
          <w:szCs w:val="28"/>
          <w:lang w:val="es-ES"/>
        </w:rPr>
        <w:t>hab</w:t>
      </w:r>
      <w:r w:rsidR="008218BD">
        <w:rPr>
          <w:rFonts w:asciiTheme="minorHAnsi" w:hAnsiTheme="minorHAnsi" w:cstheme="minorHAnsi"/>
          <w:sz w:val="28"/>
          <w:szCs w:val="28"/>
          <w:lang w:val="es-ES"/>
        </w:rPr>
        <w:t>r</w:t>
      </w:r>
      <w:r w:rsidR="00DF388C" w:rsidRPr="00DF388C">
        <w:rPr>
          <w:rFonts w:asciiTheme="minorHAnsi" w:hAnsiTheme="minorHAnsi" w:cstheme="minorHAnsi"/>
          <w:sz w:val="28"/>
          <w:szCs w:val="28"/>
          <w:lang w:val="es-ES"/>
        </w:rPr>
        <w:t xml:space="preserve">ía convocado a la doctora Catalina Crespo a una audiencia de remoción al cargo que se llevaría a cabo el </w:t>
      </w:r>
      <w:r w:rsidR="002B46FC">
        <w:rPr>
          <w:rFonts w:asciiTheme="minorHAnsi" w:hAnsiTheme="minorHAnsi" w:cstheme="minorHAnsi"/>
          <w:sz w:val="28"/>
          <w:szCs w:val="28"/>
          <w:lang w:val="es-ES"/>
        </w:rPr>
        <w:t>día 18 del mismo mes. No obstante, dicha audiencia</w:t>
      </w:r>
      <w:r w:rsidR="00DF388C" w:rsidRPr="00DF388C">
        <w:rPr>
          <w:rFonts w:asciiTheme="minorHAnsi" w:hAnsiTheme="minorHAnsi" w:cstheme="minorHAnsi"/>
          <w:sz w:val="28"/>
          <w:szCs w:val="28"/>
          <w:lang w:val="es-ES"/>
        </w:rPr>
        <w:t xml:space="preserve"> fue suspendida por la emisión de medidas cautelares por parte de la Sala Constitucional de la Corte Suprema de Justicia de ese país.</w:t>
      </w:r>
    </w:p>
    <w:p w:rsidR="00C52FFA" w:rsidRDefault="00C52FFA" w:rsidP="0055332A">
      <w:pPr>
        <w:spacing w:line="360" w:lineRule="exac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</w:p>
    <w:p w:rsidR="00423D5E" w:rsidRPr="0055332A" w:rsidRDefault="000A460E" w:rsidP="0055332A">
      <w:pPr>
        <w:spacing w:line="360" w:lineRule="exac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lastRenderedPageBreak/>
        <w:t xml:space="preserve">3.- Dicha </w:t>
      </w:r>
      <w:r w:rsidR="00B90597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C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omisión 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al parecer 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ha recopilado pruebas 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que no han sido hechas públicas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, 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y por tanto 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desconocidas por l</w:t>
      </w:r>
      <w:r w:rsidR="00B90597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Dr</w:t>
      </w:r>
      <w:r w:rsidR="00B90597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. C</w:t>
      </w:r>
      <w:r w:rsidR="00B90597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resp</w:t>
      </w: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o, que ha visto así impedido su derecho a la defensa. </w:t>
      </w:r>
    </w:p>
    <w:p w:rsidR="00A267F5" w:rsidRDefault="00A267F5" w:rsidP="00BE33B7">
      <w:pPr>
        <w:spacing w:line="360" w:lineRule="atLeast"/>
        <w:ind w:firstLine="708"/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  <w:r w:rsidRPr="00A267F5">
        <w:rPr>
          <w:rFonts w:asciiTheme="minorHAnsi" w:hAnsiTheme="minorHAnsi" w:cstheme="minorHAnsi"/>
          <w:sz w:val="28"/>
          <w:szCs w:val="28"/>
          <w:lang w:val="es-ES_tradnl"/>
        </w:rPr>
        <w:t xml:space="preserve">En cualquier estado democrático y de derecho, como lo es </w:t>
      </w:r>
      <w:r w:rsidR="00256843">
        <w:rPr>
          <w:rFonts w:asciiTheme="minorHAnsi" w:hAnsiTheme="minorHAnsi" w:cstheme="minorHAnsi"/>
          <w:sz w:val="28"/>
          <w:szCs w:val="28"/>
          <w:lang w:val="es-ES_tradnl"/>
        </w:rPr>
        <w:t>Costa Rica</w:t>
      </w:r>
      <w:r w:rsidRPr="00A267F5">
        <w:rPr>
          <w:rFonts w:asciiTheme="minorHAnsi" w:hAnsiTheme="minorHAnsi" w:cstheme="minorHAnsi"/>
          <w:sz w:val="28"/>
          <w:szCs w:val="28"/>
          <w:lang w:val="es-ES_tradnl"/>
        </w:rPr>
        <w:t>, toda acusación formulada en contra de una persona</w:t>
      </w:r>
      <w:r w:rsidR="00310B0E">
        <w:rPr>
          <w:rFonts w:asciiTheme="minorHAnsi" w:hAnsiTheme="minorHAnsi" w:cstheme="minorHAnsi"/>
          <w:sz w:val="28"/>
          <w:szCs w:val="28"/>
          <w:lang w:val="es-ES_tradnl"/>
        </w:rPr>
        <w:t>, máxime cuando es tan grave,</w:t>
      </w:r>
      <w:r w:rsidRPr="00A267F5">
        <w:rPr>
          <w:rFonts w:asciiTheme="minorHAnsi" w:hAnsiTheme="minorHAnsi" w:cstheme="minorHAnsi"/>
          <w:sz w:val="28"/>
          <w:szCs w:val="28"/>
          <w:lang w:val="es-ES_tradnl"/>
        </w:rPr>
        <w:t xml:space="preserve"> debe estar sujeta a las normas del debido proceso. La Comisión Interamericana de Derechos Humanos se ha pronunciado sobre el particular, mediante comunicado de 2 de septiembre de 2016, en el cual manifestó que los juicios políticos ante los parlamentos, congresos y asambleas deben estar ausentes de irregularidades, arbitrariedades y violaciones al debido proceso.</w:t>
      </w:r>
    </w:p>
    <w:p w:rsidR="00C52FFA" w:rsidRDefault="00C52FFA" w:rsidP="00BE33B7">
      <w:pPr>
        <w:spacing w:line="360" w:lineRule="atLeast"/>
        <w:ind w:firstLine="708"/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</w:p>
    <w:p w:rsidR="00423D5E" w:rsidRPr="0055332A" w:rsidRDefault="00A267F5" w:rsidP="00BE33B7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Por todo ello, e</w:t>
      </w:r>
      <w:r w:rsidR="00423D5E"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l Consejo Rector de la Federación Iberoamericana del Ombudsman (FIO),  </w:t>
      </w:r>
    </w:p>
    <w:p w:rsidR="00423D5E" w:rsidRPr="00580B3B" w:rsidRDefault="00423D5E" w:rsidP="00423D5E">
      <w:pPr>
        <w:spacing w:line="360" w:lineRule="atLeast"/>
        <w:ind w:firstLine="708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es-ES_tradnl" w:eastAsia="es-ES"/>
        </w:rPr>
      </w:pPr>
      <w:r w:rsidRPr="00580B3B">
        <w:rPr>
          <w:rFonts w:asciiTheme="minorHAnsi" w:eastAsiaTheme="minorEastAsia" w:hAnsiTheme="minorHAnsi" w:cstheme="minorHAnsi"/>
          <w:b/>
          <w:sz w:val="28"/>
          <w:szCs w:val="28"/>
          <w:lang w:val="es-ES_tradnl" w:eastAsia="es-ES"/>
        </w:rPr>
        <w:t>Acuerda:</w:t>
      </w:r>
    </w:p>
    <w:p w:rsidR="00423D5E" w:rsidRPr="0055332A" w:rsidRDefault="00423D5E" w:rsidP="00C52FFA">
      <w:pPr>
        <w:spacing w:line="360" w:lineRule="atLeast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- Expresar su profunda preocupación por la situación </w:t>
      </w:r>
      <w:r w:rsidR="00271A87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descrita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;</w:t>
      </w:r>
    </w:p>
    <w:p w:rsidR="00423D5E" w:rsidRPr="0055332A" w:rsidRDefault="00423D5E" w:rsidP="00C52FFA">
      <w:pPr>
        <w:spacing w:line="360" w:lineRule="exact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- Recordar que la independencia y la autonomía de las Instituciones Nacionales de Derechos Humanos están expresamente consagradas en los Principios de Paris</w:t>
      </w:r>
      <w:r w:rsidR="00BE33B7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y otras resoluciones adoptada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s por las Naciones Unidas, y son pilares y características determinantes para el reconocimiento del status internacional de esas instituciones;</w:t>
      </w:r>
    </w:p>
    <w:p w:rsidR="00423D5E" w:rsidRPr="0055332A" w:rsidRDefault="00423D5E" w:rsidP="00C52FFA">
      <w:pPr>
        <w:spacing w:line="360" w:lineRule="atLeast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- Solicitar a las autoridades legislativas de </w:t>
      </w:r>
      <w:r w:rsidR="00256843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Costa Rica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que garanticen y </w:t>
      </w:r>
      <w:r w:rsidR="000B1032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respeten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el cumplimiento de los principios de independencia y autonomía en el funcionamiento de</w:t>
      </w:r>
      <w:r w:rsidR="00580B3B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l</w:t>
      </w:r>
      <w:r w:rsidR="00580B3B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a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</w:t>
      </w:r>
      <w:r w:rsidR="00256843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D</w:t>
      </w:r>
      <w:r w:rsidR="00580B3B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efensoría de</w:t>
      </w:r>
      <w:r w:rsidR="00256843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</w:t>
      </w:r>
      <w:r w:rsidR="00580B3B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l</w:t>
      </w:r>
      <w:r w:rsidR="00256843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os</w:t>
      </w:r>
      <w:r w:rsidR="00580B3B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 </w:t>
      </w:r>
      <w:r w:rsidR="00256843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Habitantes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;</w:t>
      </w:r>
    </w:p>
    <w:p w:rsidR="00423D5E" w:rsidRDefault="00423D5E" w:rsidP="00C52FFA">
      <w:pPr>
        <w:spacing w:line="360" w:lineRule="atLeast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- Expresar la voluntad de la Federación Iberoamericana del Ombudsman (FIO) de dar visibilidad internacional a esta situación ante el sistema interamericano</w:t>
      </w:r>
      <w:r w:rsidR="00A267F5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, el GANHRI </w:t>
      </w:r>
      <w:r w:rsidRPr="0055332A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y el sistema universal de protección de los derechos humanos y de otros foros de derechos humanos</w:t>
      </w:r>
      <w:r w:rsidR="00271A87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.</w:t>
      </w:r>
    </w:p>
    <w:p w:rsidR="00C52FFA" w:rsidRDefault="00C52FFA" w:rsidP="00E80D21">
      <w:pPr>
        <w:spacing w:after="200" w:line="360" w:lineRule="atLeas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</w:p>
    <w:p w:rsidR="00E80D21" w:rsidRPr="00E80D21" w:rsidRDefault="00E80D21" w:rsidP="00E80D21">
      <w:pPr>
        <w:spacing w:after="200" w:line="360" w:lineRule="atLeas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 w:rsidRPr="00E80D21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 xml:space="preserve">La Federación Iberoamericana del Ombudsman (FIO), congrega y representa a 103 Defensores del Pueblo, Procuradores, Proveedores, </w:t>
      </w:r>
      <w:r w:rsidRPr="00E80D21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lastRenderedPageBreak/>
        <w:t>Comisionados y Presidentes de Comisiones Públicas de Derechos Humanos de 22 países iberoamericanos.</w:t>
      </w:r>
    </w:p>
    <w:p w:rsidR="00E80D21" w:rsidRPr="00E80D21" w:rsidRDefault="00E80D21" w:rsidP="00E80D21">
      <w:pPr>
        <w:spacing w:after="200" w:line="360" w:lineRule="atLeast"/>
        <w:ind w:firstLine="708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  <w:r w:rsidRPr="00E80D21"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  <w:t>El objetivo primordial de la Federación es ser un foro de discusión para la cooperación, el intercambio de experiencias y la promoción, difusión y fortalecimiento de la institución del Ombudsman en las regiones geográficas de su jurisdicción. En concreto, entre otras finalidades específicas, pretende fomentar, ampliar y fortalecer la cultura de los Derechos Humanos en los países cuyos Ombudsman formen parte de la FIO; establecer y mantener relaciones de colaboración con organizaciones no gubernamentales que procuren el respeto, defensa y promoción de los Derechos Humanos, así como promover estudios e investigaciones sobre aspectos de su competencia, con la finalidad de apoyar el fortalecimiento del Estado de Derecho, el régimen democrático y la convivencia pacífica de los pueblos.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E80D21" w:rsidRPr="00E80D21" w:rsidTr="00E80D21">
        <w:tc>
          <w:tcPr>
            <w:tcW w:w="4252" w:type="dxa"/>
          </w:tcPr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Pablo Ulloa</w:t>
            </w:r>
          </w:p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Presidente</w:t>
            </w:r>
          </w:p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Defensor del pueblo de la R Dominicana</w:t>
            </w:r>
          </w:p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252" w:type="dxa"/>
          </w:tcPr>
          <w:p w:rsid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6" w:firstLine="103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 xml:space="preserve">Blanca </w:t>
            </w:r>
            <w:proofErr w:type="spellStart"/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Sarai</w:t>
            </w:r>
            <w:proofErr w:type="spellEnd"/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 xml:space="preserve"> Izaguirre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Vicepresidenta 1ª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47" w:hanging="38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Comisionada Nacional de los DDHH de Honduras</w:t>
            </w:r>
          </w:p>
        </w:tc>
      </w:tr>
      <w:tr w:rsidR="00E80D21" w:rsidRPr="00E80D21" w:rsidTr="00E80D21">
        <w:tc>
          <w:tcPr>
            <w:tcW w:w="4252" w:type="dxa"/>
          </w:tcPr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08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Nadia Cruz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08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Vicepresidente 2º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08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Defensora del Pueblo de Bolivia</w:t>
            </w:r>
          </w:p>
          <w:p w:rsidR="00E80D21" w:rsidRPr="00E80D21" w:rsidRDefault="00E80D21" w:rsidP="00E80D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360" w:lineRule="atLeast"/>
              <w:ind w:firstLine="70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252" w:type="dxa"/>
          </w:tcPr>
          <w:p w:rsid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C52FFA" w:rsidRDefault="00C52FFA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Ángel Gabilondo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Vicepresidente 3º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47" w:hanging="38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Defensor del Pueblo de España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</w:tc>
      </w:tr>
      <w:tr w:rsidR="00E80D21" w:rsidRPr="00E80D21" w:rsidTr="00E80D21">
        <w:tc>
          <w:tcPr>
            <w:tcW w:w="4252" w:type="dxa"/>
          </w:tcPr>
          <w:p w:rsidR="00E80D21" w:rsidRPr="00E80D21" w:rsidRDefault="00E80D21" w:rsidP="00E80D21">
            <w:pPr>
              <w:spacing w:after="200" w:line="360" w:lineRule="atLeast"/>
              <w:ind w:firstLine="70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75690">
            <w:pPr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 xml:space="preserve">Juan José </w:t>
            </w:r>
            <w:proofErr w:type="spellStart"/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Böckel</w:t>
            </w:r>
            <w:proofErr w:type="spellEnd"/>
          </w:p>
          <w:p w:rsidR="00E80D21" w:rsidRPr="00E80D21" w:rsidRDefault="00E80D21" w:rsidP="00C75690">
            <w:pPr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Vicepresidente 4º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Defensor de la Nación argentina (a/c)</w:t>
            </w:r>
          </w:p>
        </w:tc>
        <w:tc>
          <w:tcPr>
            <w:tcW w:w="4252" w:type="dxa"/>
          </w:tcPr>
          <w:p w:rsidR="00E80D21" w:rsidRPr="00E80D21" w:rsidRDefault="00E80D21" w:rsidP="00E80D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360" w:lineRule="atLeast"/>
              <w:ind w:firstLine="70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Jesús Maeztu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Vicepresidente 5º</w:t>
            </w:r>
          </w:p>
          <w:p w:rsidR="00E80D21" w:rsidRPr="00E80D21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47" w:hanging="38"/>
              <w:outlineLvl w:val="0"/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</w:pPr>
            <w:r w:rsidRPr="00E80D21">
              <w:rPr>
                <w:rFonts w:asciiTheme="minorHAnsi" w:eastAsiaTheme="minorEastAsia" w:hAnsiTheme="minorHAnsi" w:cstheme="minorHAnsi"/>
                <w:sz w:val="28"/>
                <w:szCs w:val="28"/>
                <w:lang w:val="es-ES_tradnl"/>
              </w:rPr>
              <w:t>Defensor del Pueblo andaluz (España)</w:t>
            </w:r>
          </w:p>
        </w:tc>
      </w:tr>
    </w:tbl>
    <w:p w:rsidR="00310B0E" w:rsidRDefault="00310B0E" w:rsidP="00C52FFA">
      <w:pPr>
        <w:spacing w:line="360" w:lineRule="atLeast"/>
        <w:jc w:val="both"/>
        <w:rPr>
          <w:rFonts w:asciiTheme="minorHAnsi" w:eastAsiaTheme="minorEastAsia" w:hAnsiTheme="minorHAnsi" w:cstheme="minorHAnsi"/>
          <w:sz w:val="28"/>
          <w:szCs w:val="28"/>
          <w:lang w:val="es-ES_tradnl" w:eastAsia="es-ES"/>
        </w:rPr>
      </w:pPr>
    </w:p>
    <w:sectPr w:rsidR="00310B0E" w:rsidSect="00580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60E" w:rsidRDefault="000A460E">
      <w:pPr>
        <w:spacing w:after="0"/>
      </w:pPr>
      <w:r>
        <w:separator/>
      </w:r>
    </w:p>
  </w:endnote>
  <w:endnote w:type="continuationSeparator" w:id="0">
    <w:p w:rsidR="000A460E" w:rsidRDefault="000A4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02B" w:rsidRDefault="00E940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120488"/>
      <w:docPartObj>
        <w:docPartGallery w:val="Page Numbers (Bottom of Page)"/>
        <w:docPartUnique/>
      </w:docPartObj>
    </w:sdtPr>
    <w:sdtEndPr/>
    <w:sdtContent>
      <w:p w:rsidR="00E9402B" w:rsidRDefault="00E94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02B">
          <w:rPr>
            <w:noProof/>
            <w:lang w:val="es-ES"/>
          </w:rPr>
          <w:t>3</w:t>
        </w:r>
        <w:r>
          <w:fldChar w:fldCharType="end"/>
        </w:r>
      </w:p>
    </w:sdtContent>
  </w:sdt>
  <w:p w:rsidR="00E9402B" w:rsidRDefault="00E940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02B" w:rsidRDefault="00E94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60E" w:rsidRDefault="000A460E">
      <w:pPr>
        <w:spacing w:after="0"/>
      </w:pPr>
      <w:r>
        <w:separator/>
      </w:r>
    </w:p>
  </w:footnote>
  <w:footnote w:type="continuationSeparator" w:id="0">
    <w:p w:rsidR="000A460E" w:rsidRDefault="000A4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02B" w:rsidRDefault="00E940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60E" w:rsidRDefault="000A460E" w:rsidP="00EB342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30D44BF" wp14:editId="3F13401C">
          <wp:extent cx="180975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02B" w:rsidRDefault="00E940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5E"/>
    <w:rsid w:val="000A460E"/>
    <w:rsid w:val="000A5692"/>
    <w:rsid w:val="000B1032"/>
    <w:rsid w:val="001E3125"/>
    <w:rsid w:val="00256843"/>
    <w:rsid w:val="00271A87"/>
    <w:rsid w:val="002B46FC"/>
    <w:rsid w:val="00310B0E"/>
    <w:rsid w:val="00320B36"/>
    <w:rsid w:val="00357D01"/>
    <w:rsid w:val="003B7556"/>
    <w:rsid w:val="00423D5E"/>
    <w:rsid w:val="004331DE"/>
    <w:rsid w:val="00463680"/>
    <w:rsid w:val="0047515E"/>
    <w:rsid w:val="004E2F5B"/>
    <w:rsid w:val="0055332A"/>
    <w:rsid w:val="00580B3B"/>
    <w:rsid w:val="007D41F3"/>
    <w:rsid w:val="008218BD"/>
    <w:rsid w:val="009B4972"/>
    <w:rsid w:val="009E2404"/>
    <w:rsid w:val="00A267F5"/>
    <w:rsid w:val="00A33B54"/>
    <w:rsid w:val="00B90597"/>
    <w:rsid w:val="00BE33B7"/>
    <w:rsid w:val="00C10EF8"/>
    <w:rsid w:val="00C52FFA"/>
    <w:rsid w:val="00C62158"/>
    <w:rsid w:val="00C75690"/>
    <w:rsid w:val="00CF7059"/>
    <w:rsid w:val="00DF388C"/>
    <w:rsid w:val="00E80D21"/>
    <w:rsid w:val="00E87F10"/>
    <w:rsid w:val="00E9402B"/>
    <w:rsid w:val="00EB342E"/>
    <w:rsid w:val="00F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34EC4-F649-4164-B78F-5712555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5E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3D5E"/>
    <w:pPr>
      <w:tabs>
        <w:tab w:val="center" w:pos="4252"/>
        <w:tab w:val="right" w:pos="8504"/>
      </w:tabs>
      <w:spacing w:after="0"/>
    </w:pPr>
    <w:rPr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423D5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4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42E"/>
    <w:rPr>
      <w:rFonts w:ascii="Tahoma" w:eastAsia="Calibri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55332A"/>
    <w:pPr>
      <w:widowControl w:val="0"/>
      <w:autoSpaceDE w:val="0"/>
      <w:autoSpaceDN w:val="0"/>
      <w:adjustRightInd w:val="0"/>
      <w:spacing w:after="0"/>
      <w:ind w:left="120" w:firstLine="20"/>
    </w:pPr>
    <w:rPr>
      <w:rFonts w:ascii="Times New Roman" w:eastAsiaTheme="minorEastAsia" w:hAnsi="Times New Roman"/>
      <w:sz w:val="37"/>
      <w:szCs w:val="37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332A"/>
    <w:rPr>
      <w:rFonts w:ascii="Times New Roman" w:eastAsiaTheme="minorEastAsia" w:hAnsi="Times New Roman" w:cs="Times New Roman"/>
      <w:sz w:val="37"/>
      <w:szCs w:val="37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2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2B"/>
    <w:rPr>
      <w:rFonts w:ascii="Calibri" w:eastAsia="Calibri" w:hAnsi="Calibri" w:cs="Times New Roman"/>
      <w:lang w:val="es-PE"/>
    </w:rPr>
  </w:style>
  <w:style w:type="paragraph" w:styleId="NormalWeb">
    <w:name w:val="Normal (Web)"/>
    <w:basedOn w:val="Normal"/>
    <w:uiPriority w:val="99"/>
    <w:semiHidden/>
    <w:unhideWhenUsed/>
    <w:rsid w:val="00DF388C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E80D2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utilizador2016</dc:creator>
  <cp:lastModifiedBy>Gustavo Adolfo Marcelino</cp:lastModifiedBy>
  <cp:revision>2</cp:revision>
  <cp:lastPrinted>2019-10-04T12:30:00Z</cp:lastPrinted>
  <dcterms:created xsi:type="dcterms:W3CDTF">2022-05-06T20:58:00Z</dcterms:created>
  <dcterms:modified xsi:type="dcterms:W3CDTF">2022-05-06T20:58:00Z</dcterms:modified>
</cp:coreProperties>
</file>